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A5FF" w14:textId="785B356D" w:rsidR="000453BC" w:rsidRPr="00476489" w:rsidRDefault="003063A9" w:rsidP="003063A9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77720860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La nouvelle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charnière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guidage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 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de </w:t>
      </w:r>
      <w:proofErr w:type="gram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Hettich :</w:t>
      </w:r>
      <w:proofErr w:type="gram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br/>
        <w:t xml:space="preserve">des performances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élevées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avec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une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capacité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de charge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importante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pour un design de cuisine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généreux</w:t>
      </w:r>
      <w:proofErr w:type="spellEnd"/>
    </w:p>
    <w:p w14:paraId="3BC9579A" w14:textId="77777777" w:rsidR="000453BC" w:rsidRPr="00476489" w:rsidRDefault="000453BC" w:rsidP="003063A9">
      <w:pPr>
        <w:spacing w:line="360" w:lineRule="auto"/>
        <w:rPr>
          <w:rFonts w:cs="Arial"/>
          <w:szCs w:val="24"/>
          <w:lang w:val="en-US"/>
        </w:rPr>
      </w:pPr>
    </w:p>
    <w:p w14:paraId="7C914A72" w14:textId="497A1AC8" w:rsidR="000453BC" w:rsidRPr="000453BC" w:rsidRDefault="000453BC" w:rsidP="003063A9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Un design grand format avec des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meubles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de cuisine à hauteur de plafond et un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alignement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des jeux </w:t>
      </w:r>
      <w:proofErr w:type="spellStart"/>
      <w:proofErr w:type="gram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minimaliste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c’est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à quoi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ressemble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la cuisine de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rêve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pour beaucoup </w:t>
      </w:r>
      <w:proofErr w:type="spellStart"/>
      <w:r w:rsidRPr="00476489">
        <w:rPr>
          <w:rFonts w:ascii="Arial" w:hAnsi="Arial" w:cs="Arial"/>
          <w:b/>
          <w:bCs/>
          <w:sz w:val="24"/>
          <w:szCs w:val="24"/>
          <w:lang w:val="en-US"/>
        </w:rPr>
        <w:t>d’entre</w:t>
      </w:r>
      <w:proofErr w:type="spellEnd"/>
      <w:r w:rsidRPr="00476489">
        <w:rPr>
          <w:rFonts w:ascii="Arial" w:hAnsi="Arial" w:cs="Arial"/>
          <w:b/>
          <w:bCs/>
          <w:sz w:val="24"/>
          <w:szCs w:val="24"/>
          <w:lang w:val="en-US"/>
        </w:rPr>
        <w:t xml:space="preserve"> nous. </w:t>
      </w:r>
      <w:r>
        <w:rPr>
          <w:rFonts w:ascii="Arial" w:hAnsi="Arial" w:cs="Arial"/>
          <w:b/>
          <w:bCs/>
          <w:sz w:val="24"/>
          <w:szCs w:val="24"/>
        </w:rPr>
        <w:t xml:space="preserve">Mais, plus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portes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meubles gagnent en largeur et en hauteur, plus elles deviennent également lourdes. C’est là qu’une capacité de charge particulière est demandée. En créant la charnière de guidage Evisys, Hettich a conçu une solution de ferrures unique en son genre spécialement pour les portes de meubles surdimensionnées en hauteur derrière lesquelles se trouvent des réfrigérateurs encastrés à porte fixe.</w:t>
      </w:r>
    </w:p>
    <w:p w14:paraId="355DC948" w14:textId="77777777" w:rsidR="000453BC" w:rsidRPr="000453BC" w:rsidRDefault="000453BC" w:rsidP="003063A9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14:paraId="363277DA" w14:textId="2E25DA30" w:rsidR="000453BC" w:rsidRPr="00476489" w:rsidRDefault="003063A9" w:rsidP="007C7149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76489">
        <w:rPr>
          <w:rFonts w:ascii="Arial" w:hAnsi="Arial" w:cs="Arial"/>
          <w:sz w:val="24"/>
          <w:szCs w:val="24"/>
          <w:lang w:val="en-US"/>
        </w:rPr>
        <w:t xml:space="preserve">Hettich a mis tout son savoir-faire dans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charnière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guidage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pour le plus grand profit des </w:t>
      </w:r>
      <w:proofErr w:type="spellStart"/>
      <w:proofErr w:type="gramStart"/>
      <w:r w:rsidRPr="00476489">
        <w:rPr>
          <w:rFonts w:ascii="Arial" w:hAnsi="Arial" w:cs="Arial"/>
          <w:sz w:val="24"/>
          <w:szCs w:val="24"/>
          <w:lang w:val="en-US"/>
        </w:rPr>
        <w:t>utilisateurs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> :</w:t>
      </w:r>
      <w:proofErr w:type="gram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combinaison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avec les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charnières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Hettich pour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portes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fixes, il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désormais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possible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réaliser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portes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pouvant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peser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jusqu’à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80 kg -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soit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10 kg de plus que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jusqu’à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maintenant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supporte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capacité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charge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supplémentaire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Placée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dans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partie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supérieure de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porte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du meuble,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garantit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stabilité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nécessaire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pour le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mouvement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rotation et pour un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alignement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des jeux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toujours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précis pour des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largeurs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porte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pouvant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atteindre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, au maximum, 750 mm. Il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possible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d’utiliser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ferrure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acier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zingué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à gauche et à droite de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porte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. Le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système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parfait pour les corps de meuble à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parois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latérales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16, 18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ou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19 mm.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disponible avec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ou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sans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amortissement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intégré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. Le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paquet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prestations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avec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amortissement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intégré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comprend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lastRenderedPageBreak/>
        <w:t>même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une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amélioration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intelligente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du </w:t>
      </w:r>
      <w:proofErr w:type="spellStart"/>
      <w:proofErr w:type="gramStart"/>
      <w:r w:rsidRPr="00476489">
        <w:rPr>
          <w:rFonts w:ascii="Arial" w:hAnsi="Arial" w:cs="Arial"/>
          <w:sz w:val="24"/>
          <w:szCs w:val="24"/>
          <w:lang w:val="en-US"/>
        </w:rPr>
        <w:t>confort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47648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porte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du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réfrigérateur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profite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effet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également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l’effet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amortisseur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charnière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guidage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et se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ferme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encore plus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douceur et plus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silence. Grâce à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ses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excellentes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performances, la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charnière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guidage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permet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au design de la cuisine de « se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surpasser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» au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sens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littéral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du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terme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. </w:t>
      </w:r>
      <w:r w:rsidRPr="00476489">
        <w:rPr>
          <w:rFonts w:ascii="Arial" w:hAnsi="Arial" w:cs="Arial"/>
          <w:sz w:val="24"/>
          <w:szCs w:val="24"/>
          <w:lang w:val="en-US"/>
        </w:rPr>
        <w:br/>
        <w:t xml:space="preserve">Plus </w:t>
      </w:r>
      <w:proofErr w:type="spellStart"/>
      <w:r w:rsidRPr="00476489">
        <w:rPr>
          <w:rFonts w:ascii="Arial" w:hAnsi="Arial" w:cs="Arial"/>
          <w:sz w:val="24"/>
          <w:szCs w:val="24"/>
          <w:lang w:val="en-US"/>
        </w:rPr>
        <w:t>d’informations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 xml:space="preserve"> sur </w:t>
      </w:r>
      <w:proofErr w:type="spellStart"/>
      <w:proofErr w:type="gramStart"/>
      <w:r w:rsidRPr="00476489">
        <w:rPr>
          <w:rFonts w:ascii="Arial" w:hAnsi="Arial" w:cs="Arial"/>
          <w:sz w:val="24"/>
          <w:szCs w:val="24"/>
          <w:lang w:val="en-US"/>
        </w:rPr>
        <w:t>Evisys</w:t>
      </w:r>
      <w:proofErr w:type="spellEnd"/>
      <w:r w:rsidRPr="00476489">
        <w:rPr>
          <w:rFonts w:ascii="Arial" w:hAnsi="Arial" w:cs="Arial"/>
          <w:sz w:val="24"/>
          <w:szCs w:val="24"/>
          <w:lang w:val="en-US"/>
        </w:rPr>
        <w:t> :</w:t>
      </w:r>
      <w:proofErr w:type="gramEnd"/>
      <w:r w:rsidRPr="0047648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8" w:history="1">
        <w:r w:rsidRPr="00476489">
          <w:rPr>
            <w:rStyle w:val="Hyperlink"/>
            <w:rFonts w:ascii="Arial" w:hAnsi="Arial" w:cs="Arial"/>
            <w:sz w:val="24"/>
            <w:szCs w:val="24"/>
            <w:lang w:val="en-US"/>
          </w:rPr>
          <w:t>https://www.hettich.com/short/p8uk4zr</w:t>
        </w:r>
      </w:hyperlink>
    </w:p>
    <w:p w14:paraId="34DC1349" w14:textId="504DDFE7" w:rsidR="000453BC" w:rsidRPr="00476489" w:rsidRDefault="00476489" w:rsidP="007C7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bCs/>
          <w:color w:val="auto"/>
          <w:szCs w:val="24"/>
          <w:lang w:val="en-US"/>
        </w:rPr>
      </w:pPr>
      <w:hyperlink r:id="rId9" w:history="1"/>
      <w:r w:rsidRPr="00476489">
        <w:rPr>
          <w:rFonts w:cs="Arial"/>
          <w:color w:val="auto"/>
          <w:szCs w:val="24"/>
          <w:lang w:val="en-US"/>
        </w:rPr>
        <w:t xml:space="preserve">Vous </w:t>
      </w:r>
      <w:proofErr w:type="spellStart"/>
      <w:r w:rsidRPr="00476489">
        <w:rPr>
          <w:rFonts w:cs="Arial"/>
          <w:color w:val="auto"/>
          <w:szCs w:val="24"/>
          <w:lang w:val="en-US"/>
        </w:rPr>
        <w:t>pouvez</w:t>
      </w:r>
      <w:proofErr w:type="spellEnd"/>
      <w:r w:rsidRPr="00476489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476489">
        <w:rPr>
          <w:rFonts w:cs="Arial"/>
          <w:color w:val="auto"/>
          <w:szCs w:val="24"/>
          <w:lang w:val="en-US"/>
        </w:rPr>
        <w:t>télécharger</w:t>
      </w:r>
      <w:proofErr w:type="spellEnd"/>
      <w:r w:rsidRPr="00476489">
        <w:rPr>
          <w:rFonts w:cs="Arial"/>
          <w:color w:val="auto"/>
          <w:szCs w:val="24"/>
          <w:lang w:val="en-US"/>
        </w:rPr>
        <w:t xml:space="preserve"> les </w:t>
      </w:r>
      <w:proofErr w:type="spellStart"/>
      <w:r w:rsidRPr="00476489">
        <w:rPr>
          <w:rFonts w:cs="Arial"/>
          <w:color w:val="auto"/>
          <w:szCs w:val="24"/>
          <w:lang w:val="en-US"/>
        </w:rPr>
        <w:t>ressources</w:t>
      </w:r>
      <w:proofErr w:type="spellEnd"/>
      <w:r w:rsidRPr="00476489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476489">
        <w:rPr>
          <w:rFonts w:cs="Arial"/>
          <w:color w:val="auto"/>
          <w:szCs w:val="24"/>
          <w:lang w:val="en-US"/>
        </w:rPr>
        <w:t>photographiques</w:t>
      </w:r>
      <w:proofErr w:type="spellEnd"/>
      <w:r w:rsidRPr="00476489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476489">
        <w:rPr>
          <w:rFonts w:cs="Arial"/>
          <w:color w:val="auto"/>
          <w:szCs w:val="24"/>
          <w:lang w:val="en-US"/>
        </w:rPr>
        <w:t>suivantes</w:t>
      </w:r>
      <w:proofErr w:type="spellEnd"/>
      <w:r w:rsidRPr="00476489">
        <w:rPr>
          <w:rFonts w:cs="Arial"/>
          <w:color w:val="auto"/>
          <w:szCs w:val="24"/>
          <w:lang w:val="en-US"/>
        </w:rPr>
        <w:t xml:space="preserve"> sur </w:t>
      </w:r>
      <w:r w:rsidRPr="00476489">
        <w:rPr>
          <w:rFonts w:cs="Arial"/>
          <w:b/>
          <w:color w:val="auto"/>
          <w:szCs w:val="24"/>
          <w:lang w:val="en-US"/>
        </w:rPr>
        <w:t>www.hettich.com, menu «</w:t>
      </w:r>
      <w:r>
        <w:rPr>
          <w:rFonts w:cs="Arial"/>
          <w:b/>
          <w:color w:val="auto"/>
          <w:szCs w:val="24"/>
          <w:lang w:val="en-US"/>
        </w:rPr>
        <w:t xml:space="preserve"> </w:t>
      </w:r>
      <w:r w:rsidRPr="00476489">
        <w:rPr>
          <w:rFonts w:cs="Arial"/>
          <w:b/>
          <w:color w:val="auto"/>
          <w:szCs w:val="24"/>
          <w:lang w:val="en-US"/>
        </w:rPr>
        <w:t>Presse</w:t>
      </w:r>
      <w:r>
        <w:rPr>
          <w:rFonts w:cs="Arial"/>
          <w:b/>
          <w:color w:val="auto"/>
          <w:szCs w:val="24"/>
          <w:lang w:val="en-US"/>
        </w:rPr>
        <w:t xml:space="preserve"> </w:t>
      </w:r>
      <w:r w:rsidRPr="00476489">
        <w:rPr>
          <w:rFonts w:cs="Arial"/>
          <w:b/>
          <w:color w:val="auto"/>
          <w:szCs w:val="24"/>
          <w:lang w:val="en-US"/>
        </w:rPr>
        <w:t>»</w:t>
      </w:r>
      <w:r w:rsidRPr="00476489">
        <w:rPr>
          <w:rFonts w:cs="Arial"/>
          <w:color w:val="auto"/>
          <w:szCs w:val="24"/>
          <w:lang w:val="en-US"/>
        </w:rPr>
        <w:t xml:space="preserve"> à </w:t>
      </w:r>
      <w:proofErr w:type="spellStart"/>
      <w:r w:rsidRPr="00476489">
        <w:rPr>
          <w:rFonts w:cs="Arial"/>
          <w:color w:val="auto"/>
          <w:szCs w:val="24"/>
          <w:lang w:val="en-US"/>
        </w:rPr>
        <w:t>l’adresse</w:t>
      </w:r>
      <w:proofErr w:type="spellEnd"/>
      <w:r w:rsidRPr="00476489">
        <w:rPr>
          <w:rFonts w:cs="Arial"/>
          <w:color w:val="auto"/>
          <w:szCs w:val="24"/>
          <w:lang w:val="en-US"/>
        </w:rPr>
        <w:t xml:space="preserve"> </w:t>
      </w:r>
      <w:proofErr w:type="spellStart"/>
      <w:proofErr w:type="gramStart"/>
      <w:r w:rsidRPr="00476489">
        <w:rPr>
          <w:rFonts w:cs="Arial"/>
          <w:color w:val="auto"/>
          <w:szCs w:val="24"/>
          <w:lang w:val="en-US"/>
        </w:rPr>
        <w:t>suivante</w:t>
      </w:r>
      <w:proofErr w:type="spellEnd"/>
      <w:r w:rsidRPr="00476489">
        <w:rPr>
          <w:rFonts w:cs="Arial"/>
          <w:color w:val="auto"/>
          <w:szCs w:val="24"/>
          <w:lang w:val="en-US"/>
        </w:rPr>
        <w:t> :</w:t>
      </w:r>
      <w:proofErr w:type="gramEnd"/>
    </w:p>
    <w:p w14:paraId="09F529C2" w14:textId="67A25023" w:rsidR="007C7149" w:rsidRPr="00476489" w:rsidRDefault="007C7149" w:rsidP="007C7149">
      <w:pPr>
        <w:rPr>
          <w:rFonts w:cs="Arial"/>
          <w:b/>
          <w:bCs/>
          <w:sz w:val="22"/>
          <w:szCs w:val="22"/>
          <w:lang w:val="en-US"/>
        </w:rPr>
      </w:pPr>
    </w:p>
    <w:p w14:paraId="2B151A10" w14:textId="15A08920" w:rsidR="000453BC" w:rsidRPr="00476489" w:rsidRDefault="00413EB3" w:rsidP="007C7149">
      <w:pPr>
        <w:rPr>
          <w:rFonts w:cs="Arial"/>
          <w:b/>
          <w:b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4AB94154" wp14:editId="7DDFB5DE">
            <wp:extent cx="1798320" cy="1272287"/>
            <wp:effectExtent l="0" t="0" r="0" b="4445"/>
            <wp:docPr id="21711662" name="Grafik 1" descr="Ein Bild, das Im Haus, Möbel, Wand, Schra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1662" name="Grafik 1" descr="Ein Bild, das Im Haus, Möbel, Wand, Schrank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17" cy="128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489">
        <w:rPr>
          <w:rFonts w:cs="Arial"/>
          <w:b/>
          <w:bCs/>
          <w:sz w:val="22"/>
          <w:szCs w:val="22"/>
          <w:lang w:val="en-US"/>
        </w:rPr>
        <w:br/>
        <w:t>P104_a</w:t>
      </w:r>
    </w:p>
    <w:p w14:paraId="6395A8E2" w14:textId="215B84B0" w:rsidR="000453BC" w:rsidRPr="007C7149" w:rsidRDefault="003063A9" w:rsidP="007C7149">
      <w:pPr>
        <w:rPr>
          <w:rFonts w:cs="Arial"/>
          <w:sz w:val="22"/>
          <w:szCs w:val="22"/>
        </w:rPr>
      </w:pPr>
      <w:r w:rsidRPr="00476489">
        <w:rPr>
          <w:rFonts w:cs="Arial"/>
          <w:sz w:val="22"/>
          <w:szCs w:val="22"/>
          <w:lang w:val="en-US"/>
        </w:rPr>
        <w:t xml:space="preserve">La </w:t>
      </w:r>
      <w:proofErr w:type="spellStart"/>
      <w:r w:rsidRPr="00476489">
        <w:rPr>
          <w:rFonts w:cs="Arial"/>
          <w:sz w:val="22"/>
          <w:szCs w:val="22"/>
          <w:lang w:val="en-US"/>
        </w:rPr>
        <w:t>capacité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de charge </w:t>
      </w:r>
      <w:proofErr w:type="spellStart"/>
      <w:r w:rsidRPr="00476489">
        <w:rPr>
          <w:rFonts w:cs="Arial"/>
          <w:sz w:val="22"/>
          <w:szCs w:val="22"/>
          <w:lang w:val="en-US"/>
        </w:rPr>
        <w:t>est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synonyme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d’une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plus </w:t>
      </w:r>
      <w:proofErr w:type="spellStart"/>
      <w:r w:rsidRPr="00476489">
        <w:rPr>
          <w:rFonts w:cs="Arial"/>
          <w:sz w:val="22"/>
          <w:szCs w:val="22"/>
          <w:lang w:val="en-US"/>
        </w:rPr>
        <w:t>grande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liberté </w:t>
      </w:r>
      <w:proofErr w:type="spellStart"/>
      <w:r w:rsidRPr="00476489">
        <w:rPr>
          <w:rFonts w:cs="Arial"/>
          <w:sz w:val="22"/>
          <w:szCs w:val="22"/>
          <w:lang w:val="en-US"/>
        </w:rPr>
        <w:t>d’agencement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dans le design de la </w:t>
      </w:r>
      <w:proofErr w:type="gramStart"/>
      <w:r w:rsidRPr="00476489">
        <w:rPr>
          <w:rFonts w:cs="Arial"/>
          <w:sz w:val="22"/>
          <w:szCs w:val="22"/>
          <w:lang w:val="en-US"/>
        </w:rPr>
        <w:t>cuisine :</w:t>
      </w:r>
      <w:proofErr w:type="gramEnd"/>
      <w:r w:rsidRPr="00476489">
        <w:rPr>
          <w:rFonts w:cs="Arial"/>
          <w:sz w:val="22"/>
          <w:szCs w:val="22"/>
          <w:lang w:val="en-US"/>
        </w:rPr>
        <w:t xml:space="preserve"> la nouvelle </w:t>
      </w:r>
      <w:proofErr w:type="spellStart"/>
      <w:r w:rsidRPr="00476489">
        <w:rPr>
          <w:rFonts w:cs="Arial"/>
          <w:sz w:val="22"/>
          <w:szCs w:val="22"/>
          <w:lang w:val="en-US"/>
        </w:rPr>
        <w:t>charnière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476489">
        <w:rPr>
          <w:rFonts w:cs="Arial"/>
          <w:sz w:val="22"/>
          <w:szCs w:val="22"/>
          <w:lang w:val="en-US"/>
        </w:rPr>
        <w:t>guidage</w:t>
      </w:r>
      <w:proofErr w:type="spellEnd"/>
      <w:r w:rsidRPr="00476489">
        <w:rPr>
          <w:rFonts w:cs="Arial"/>
          <w:sz w:val="22"/>
          <w:szCs w:val="22"/>
          <w:lang w:val="en-US"/>
        </w:rPr>
        <w:t> </w:t>
      </w:r>
      <w:proofErr w:type="spellStart"/>
      <w:r w:rsidRPr="00476489">
        <w:rPr>
          <w:rFonts w:cs="Arial"/>
          <w:sz w:val="22"/>
          <w:szCs w:val="22"/>
          <w:lang w:val="en-US"/>
        </w:rPr>
        <w:t>Evisys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permet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476489">
        <w:rPr>
          <w:rFonts w:cs="Arial"/>
          <w:sz w:val="22"/>
          <w:szCs w:val="22"/>
          <w:lang w:val="en-US"/>
        </w:rPr>
        <w:t>réaliser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des </w:t>
      </w:r>
      <w:proofErr w:type="spellStart"/>
      <w:r w:rsidRPr="00476489">
        <w:rPr>
          <w:rFonts w:cs="Arial"/>
          <w:sz w:val="22"/>
          <w:szCs w:val="22"/>
          <w:lang w:val="en-US"/>
        </w:rPr>
        <w:t>portes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de </w:t>
      </w:r>
      <w:proofErr w:type="spellStart"/>
      <w:r w:rsidRPr="00476489">
        <w:rPr>
          <w:rFonts w:cs="Arial"/>
          <w:sz w:val="22"/>
          <w:szCs w:val="22"/>
          <w:lang w:val="en-US"/>
        </w:rPr>
        <w:t>meubles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surdimensionnées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en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hauteur pour les </w:t>
      </w:r>
      <w:proofErr w:type="spellStart"/>
      <w:r w:rsidRPr="00476489">
        <w:rPr>
          <w:rFonts w:cs="Arial"/>
          <w:sz w:val="22"/>
          <w:szCs w:val="22"/>
          <w:lang w:val="en-US"/>
        </w:rPr>
        <w:t>réfrigérateurs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encastrés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pouvant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peser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76489">
        <w:rPr>
          <w:rFonts w:cs="Arial"/>
          <w:sz w:val="22"/>
          <w:szCs w:val="22"/>
          <w:lang w:val="en-US"/>
        </w:rPr>
        <w:t>jusqu’à</w:t>
      </w:r>
      <w:proofErr w:type="spellEnd"/>
      <w:r w:rsidRPr="00476489">
        <w:rPr>
          <w:rFonts w:cs="Arial"/>
          <w:sz w:val="22"/>
          <w:szCs w:val="22"/>
          <w:lang w:val="en-US"/>
        </w:rPr>
        <w:t xml:space="preserve"> 80 kg. </w:t>
      </w:r>
      <w:proofErr w:type="spellStart"/>
      <w:r>
        <w:rPr>
          <w:rFonts w:cs="Arial"/>
          <w:sz w:val="22"/>
          <w:szCs w:val="22"/>
        </w:rPr>
        <w:t>Photo</w:t>
      </w:r>
      <w:proofErr w:type="spellEnd"/>
      <w:r>
        <w:rPr>
          <w:rFonts w:cs="Arial"/>
          <w:sz w:val="22"/>
          <w:szCs w:val="22"/>
        </w:rPr>
        <w:t xml:space="preserve"> : Hettich</w:t>
      </w:r>
    </w:p>
    <w:p w14:paraId="7F7CD478" w14:textId="77777777" w:rsidR="000453BC" w:rsidRPr="007C7149" w:rsidRDefault="000453BC" w:rsidP="007C7149">
      <w:pPr>
        <w:rPr>
          <w:rFonts w:cs="Arial"/>
          <w:sz w:val="22"/>
          <w:szCs w:val="22"/>
        </w:rPr>
      </w:pPr>
    </w:p>
    <w:p w14:paraId="72EFEEC9" w14:textId="39490A46" w:rsidR="000453BC" w:rsidRPr="007C7149" w:rsidRDefault="00413EB3" w:rsidP="007C7149">
      <w:p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21BF85F" wp14:editId="4364FA89">
            <wp:extent cx="1810172" cy="1280160"/>
            <wp:effectExtent l="0" t="0" r="0" b="0"/>
            <wp:docPr id="1279252933" name="Grafik 2" descr="Ein Bild, das Gebäude, Tageslichtsysteme, Aluminium, Haltevor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52933" name="Grafik 2" descr="Ein Bild, das Gebäude, Tageslichtsysteme, Aluminium, Haltevorrichtung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24" cy="129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BFF2" w14:textId="727CEB8C" w:rsidR="007C7149" w:rsidRPr="007C7149" w:rsidRDefault="007C7149" w:rsidP="007C7149">
      <w:pPr>
        <w:rPr>
          <w:rFonts w:cs="Arial"/>
          <w:b/>
          <w:bCs/>
          <w:noProof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t>P104_b</w:t>
      </w:r>
    </w:p>
    <w:p w14:paraId="79A88423" w14:textId="321F5759" w:rsidR="000453BC" w:rsidRPr="007C7149" w:rsidRDefault="000453BC" w:rsidP="007C71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charnière de guidage Evisys garantit la stabilité nécessaire pour le mouvement de rotation de la porte du meuble. L’alignement des jeux demeure ainsi parfait. Photo : Hettich</w:t>
      </w:r>
    </w:p>
    <w:bookmarkEnd w:id="0"/>
    <w:p w14:paraId="315A9FAB" w14:textId="77777777" w:rsidR="00D25220" w:rsidRPr="007C7149" w:rsidRDefault="00D25220" w:rsidP="007C7149">
      <w:pPr>
        <w:rPr>
          <w:rFonts w:cs="Arial"/>
          <w:bCs/>
          <w:sz w:val="22"/>
          <w:szCs w:val="22"/>
        </w:rPr>
      </w:pPr>
    </w:p>
    <w:p w14:paraId="7503FD30" w14:textId="77777777" w:rsidR="00476489" w:rsidRDefault="00476489" w:rsidP="007135C0">
      <w:pPr>
        <w:widowControl w:val="0"/>
        <w:suppressAutoHyphens/>
        <w:spacing w:line="360" w:lineRule="auto"/>
        <w:rPr>
          <w:rFonts w:cs="Arial"/>
          <w:sz w:val="18"/>
          <w:szCs w:val="18"/>
          <w:u w:val="single"/>
        </w:rPr>
      </w:pPr>
    </w:p>
    <w:p w14:paraId="0164A8AD" w14:textId="77777777" w:rsidR="00476489" w:rsidRDefault="00476489" w:rsidP="007135C0">
      <w:pPr>
        <w:widowControl w:val="0"/>
        <w:suppressAutoHyphens/>
        <w:spacing w:line="360" w:lineRule="auto"/>
        <w:rPr>
          <w:rFonts w:cs="Arial"/>
          <w:sz w:val="18"/>
          <w:szCs w:val="18"/>
          <w:u w:val="single"/>
        </w:rPr>
      </w:pPr>
    </w:p>
    <w:p w14:paraId="5A1942B9" w14:textId="3514FE18" w:rsidR="007135C0" w:rsidRPr="00862715" w:rsidRDefault="007135C0" w:rsidP="007135C0">
      <w:pPr>
        <w:widowControl w:val="0"/>
        <w:suppressAutoHyphens/>
        <w:spacing w:line="360" w:lineRule="auto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lastRenderedPageBreak/>
        <w:t xml:space="preserve">À </w:t>
      </w:r>
      <w:proofErr w:type="spellStart"/>
      <w:r>
        <w:rPr>
          <w:rFonts w:cs="Arial"/>
          <w:sz w:val="18"/>
          <w:szCs w:val="18"/>
          <w:u w:val="single"/>
        </w:rPr>
        <w:t>propos</w:t>
      </w:r>
      <w:proofErr w:type="spellEnd"/>
      <w:r>
        <w:rPr>
          <w:rFonts w:cs="Arial"/>
          <w:sz w:val="18"/>
          <w:szCs w:val="18"/>
          <w:u w:val="single"/>
        </w:rPr>
        <w:t xml:space="preserve"> de Hettich</w:t>
      </w:r>
    </w:p>
    <w:p w14:paraId="16219C2F" w14:textId="77777777" w:rsidR="007135C0" w:rsidRPr="00476489" w:rsidRDefault="007135C0" w:rsidP="007135C0">
      <w:pPr>
        <w:suppressAutoHyphens/>
        <w:rPr>
          <w:rFonts w:cs="Arial"/>
          <w:color w:val="000000" w:themeColor="text1"/>
          <w:sz w:val="18"/>
          <w:szCs w:val="18"/>
          <w:lang w:val="en-US"/>
        </w:rPr>
      </w:pPr>
      <w:r>
        <w:rPr>
          <w:rFonts w:cs="Arial"/>
          <w:color w:val="000000" w:themeColor="text1"/>
          <w:sz w:val="18"/>
          <w:szCs w:val="18"/>
        </w:rPr>
        <w:t xml:space="preserve">La société Hettich a été fondée en 1888 et est aujourd’hui l’un des plus grands et des plus connus fabricants de ferrures pour meubles au monde. Le siège social de l’entreprise familiale est situé à Kirchlengern au cœur du pôle de compétitivité de l’industrie du meuble en Westphalie-de-l’Est. </w:t>
      </w:r>
      <w:r w:rsidRPr="00476489">
        <w:rPr>
          <w:rFonts w:cs="Arial"/>
          <w:color w:val="000000" w:themeColor="text1"/>
          <w:sz w:val="18"/>
          <w:szCs w:val="18"/>
          <w:lang w:val="en-US"/>
        </w:rPr>
        <w:t>Quelque 8600 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collaboratrices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collaborateurs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travaillent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tous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ensemble dans plus de 100 pays pour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fournir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des solutions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d’avenir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. Avec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sa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devise « It’s all in Hettich », la marque Hettich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offre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une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vaste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gamme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de services qui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s’oriente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systématiquement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vers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les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besoins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des clients du monde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entier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. Une gestion durable du commerce sans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nullement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négliger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les aspects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sociaux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sociétaux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écologiques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a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toujours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eu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priorité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6489">
        <w:rPr>
          <w:rFonts w:cs="Arial"/>
          <w:color w:val="000000" w:themeColor="text1"/>
          <w:sz w:val="18"/>
          <w:szCs w:val="18"/>
          <w:lang w:val="en-US"/>
        </w:rPr>
        <w:t>absolue</w:t>
      </w:r>
      <w:proofErr w:type="spellEnd"/>
      <w:r w:rsidRPr="00476489">
        <w:rPr>
          <w:rFonts w:cs="Arial"/>
          <w:color w:val="000000" w:themeColor="text1"/>
          <w:sz w:val="18"/>
          <w:szCs w:val="18"/>
          <w:lang w:val="en-US"/>
        </w:rPr>
        <w:t xml:space="preserve"> chez Hettich. www.hettich.com</w:t>
      </w:r>
    </w:p>
    <w:p w14:paraId="61BCC70B" w14:textId="77777777" w:rsidR="007135C0" w:rsidRPr="00476489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</w:p>
    <w:sectPr w:rsidR="007135C0" w:rsidRPr="00476489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E4E5A" w14:textId="77777777" w:rsidR="00B67E55" w:rsidRDefault="00B67E55">
      <w:r>
        <w:separator/>
      </w:r>
    </w:p>
  </w:endnote>
  <w:endnote w:type="continuationSeparator" w:id="0">
    <w:p w14:paraId="5B85DFAC" w14:textId="77777777" w:rsidR="00B67E55" w:rsidRDefault="00B6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 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Allemagne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Tél. 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anke.woehler@hettich.com</w:t>
                          </w: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Allemagne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476489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37F82" w14:textId="3EAC0228" w:rsidR="00A50C9A" w:rsidRPr="00476489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r w:rsidRPr="0047648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Exemplaire justificatif souhaité</w:t>
                          </w:r>
                        </w:p>
                        <w:p w14:paraId="03BE82C9" w14:textId="77777777" w:rsidR="00A50C9A" w:rsidRPr="00476489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7EF5814B" w:rsidR="00A12554" w:rsidRPr="0019526D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auto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  <w:t>PR_P104 | 01/2025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 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Allemagne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Tél. 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anke.woehler@hettich.com</w:t>
                    </w: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Allemagne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476489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37F82" w14:textId="3EAC0228" w:rsidR="00A50C9A" w:rsidRPr="00476489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476489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Exemplaire justificatif souhaité</w:t>
                    </w:r>
                  </w:p>
                  <w:p w14:paraId="03BE82C9" w14:textId="77777777" w:rsidR="00A50C9A" w:rsidRPr="00476489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7EF5814B" w:rsidR="00A12554" w:rsidRPr="0019526D" w:rsidRDefault="00A12554" w:rsidP="003153CC">
                    <w:pPr>
                      <w:rPr>
                        <w:rFonts w:ascii="Agfa Rotis Sans Serif Ex Bold" w:hAnsi="Agfa Rotis Sans Serif Ex Bold" w:cs="Arial"/>
                        <w:color w:val="auto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  <w:t>PR_P104 | 01/2025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C0C7" w14:textId="77777777" w:rsidR="00B67E55" w:rsidRDefault="00B67E55">
      <w:r>
        <w:separator/>
      </w:r>
    </w:p>
  </w:footnote>
  <w:footnote w:type="continuationSeparator" w:id="0">
    <w:p w14:paraId="4ECC6225" w14:textId="77777777" w:rsidR="00B67E55" w:rsidRDefault="00B6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C95"/>
    <w:multiLevelType w:val="hybridMultilevel"/>
    <w:tmpl w:val="B9046ECE"/>
    <w:lvl w:ilvl="0" w:tplc="D450BB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32855F04"/>
    <w:multiLevelType w:val="hybridMultilevel"/>
    <w:tmpl w:val="AC06EC2C"/>
    <w:lvl w:ilvl="0" w:tplc="D3224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C0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8E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CD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0C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24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9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A0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2F58"/>
    <w:multiLevelType w:val="hybridMultilevel"/>
    <w:tmpl w:val="F59E5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A4F86"/>
    <w:multiLevelType w:val="hybridMultilevel"/>
    <w:tmpl w:val="3EF6E7E6"/>
    <w:lvl w:ilvl="0" w:tplc="FBF6C2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1"/>
  </w:num>
  <w:num w:numId="2" w16cid:durableId="1744645542">
    <w:abstractNumId w:val="4"/>
  </w:num>
  <w:num w:numId="3" w16cid:durableId="1071925829">
    <w:abstractNumId w:val="5"/>
  </w:num>
  <w:num w:numId="4" w16cid:durableId="777601583">
    <w:abstractNumId w:val="3"/>
  </w:num>
  <w:num w:numId="5" w16cid:durableId="213933671">
    <w:abstractNumId w:val="2"/>
  </w:num>
  <w:num w:numId="6" w16cid:durableId="11480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BE7"/>
    <w:rsid w:val="00011D00"/>
    <w:rsid w:val="0001272F"/>
    <w:rsid w:val="00017980"/>
    <w:rsid w:val="0002101A"/>
    <w:rsid w:val="00022380"/>
    <w:rsid w:val="00024419"/>
    <w:rsid w:val="00024512"/>
    <w:rsid w:val="00024741"/>
    <w:rsid w:val="0002548A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53BC"/>
    <w:rsid w:val="00047086"/>
    <w:rsid w:val="00050DB7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06A3"/>
    <w:rsid w:val="000715E1"/>
    <w:rsid w:val="00072478"/>
    <w:rsid w:val="00072987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4AB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3A20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4169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26D"/>
    <w:rsid w:val="00195DE1"/>
    <w:rsid w:val="00196001"/>
    <w:rsid w:val="001A00C5"/>
    <w:rsid w:val="001A1F21"/>
    <w:rsid w:val="001A2C1B"/>
    <w:rsid w:val="001A404E"/>
    <w:rsid w:val="001A51F7"/>
    <w:rsid w:val="001A6CB5"/>
    <w:rsid w:val="001A7533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C7F83"/>
    <w:rsid w:val="001D0C17"/>
    <w:rsid w:val="001D2D5E"/>
    <w:rsid w:val="001D2DF8"/>
    <w:rsid w:val="001D53C9"/>
    <w:rsid w:val="001D5C78"/>
    <w:rsid w:val="001D6521"/>
    <w:rsid w:val="001D7777"/>
    <w:rsid w:val="001E006D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5A0"/>
    <w:rsid w:val="001F6B1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39E5"/>
    <w:rsid w:val="002242B0"/>
    <w:rsid w:val="00224390"/>
    <w:rsid w:val="00225A0B"/>
    <w:rsid w:val="00225C4F"/>
    <w:rsid w:val="00226C63"/>
    <w:rsid w:val="00227454"/>
    <w:rsid w:val="00230A6A"/>
    <w:rsid w:val="00231B35"/>
    <w:rsid w:val="002321FF"/>
    <w:rsid w:val="002324E9"/>
    <w:rsid w:val="00232DA5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01C"/>
    <w:rsid w:val="00256132"/>
    <w:rsid w:val="00256FAA"/>
    <w:rsid w:val="0025743E"/>
    <w:rsid w:val="00257485"/>
    <w:rsid w:val="00260C5B"/>
    <w:rsid w:val="00261335"/>
    <w:rsid w:val="002626D3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3AC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3A9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5F43"/>
    <w:rsid w:val="0033634E"/>
    <w:rsid w:val="003408E7"/>
    <w:rsid w:val="00341B99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7738F"/>
    <w:rsid w:val="0038034A"/>
    <w:rsid w:val="0038305D"/>
    <w:rsid w:val="003830A3"/>
    <w:rsid w:val="00384C5C"/>
    <w:rsid w:val="00385B88"/>
    <w:rsid w:val="00386000"/>
    <w:rsid w:val="003861E5"/>
    <w:rsid w:val="00386287"/>
    <w:rsid w:val="00386A78"/>
    <w:rsid w:val="00387167"/>
    <w:rsid w:val="00387E08"/>
    <w:rsid w:val="00390D51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171"/>
    <w:rsid w:val="00404A19"/>
    <w:rsid w:val="004110A9"/>
    <w:rsid w:val="00411C34"/>
    <w:rsid w:val="00413E87"/>
    <w:rsid w:val="00413EB3"/>
    <w:rsid w:val="00414572"/>
    <w:rsid w:val="00416CA5"/>
    <w:rsid w:val="00417024"/>
    <w:rsid w:val="00417B5E"/>
    <w:rsid w:val="00422257"/>
    <w:rsid w:val="00423DF6"/>
    <w:rsid w:val="00423E93"/>
    <w:rsid w:val="00423F0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F59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1406"/>
    <w:rsid w:val="00452EC2"/>
    <w:rsid w:val="004546A9"/>
    <w:rsid w:val="004556AE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42A"/>
    <w:rsid w:val="00472903"/>
    <w:rsid w:val="0047476A"/>
    <w:rsid w:val="004751F6"/>
    <w:rsid w:val="00475E14"/>
    <w:rsid w:val="00476489"/>
    <w:rsid w:val="004814C2"/>
    <w:rsid w:val="00481F64"/>
    <w:rsid w:val="0048218C"/>
    <w:rsid w:val="00483DF7"/>
    <w:rsid w:val="00484B9C"/>
    <w:rsid w:val="00484D77"/>
    <w:rsid w:val="00486D92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C7EBF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DD5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6C4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0558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0CEC"/>
    <w:rsid w:val="006211FB"/>
    <w:rsid w:val="00621F80"/>
    <w:rsid w:val="006223CC"/>
    <w:rsid w:val="00623DE3"/>
    <w:rsid w:val="00624282"/>
    <w:rsid w:val="00624457"/>
    <w:rsid w:val="006248F2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19DC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5123D"/>
    <w:rsid w:val="00651D4A"/>
    <w:rsid w:val="006534FC"/>
    <w:rsid w:val="0065376F"/>
    <w:rsid w:val="00653C58"/>
    <w:rsid w:val="00655E6C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33E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48B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15A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328"/>
    <w:rsid w:val="00716496"/>
    <w:rsid w:val="00716C3A"/>
    <w:rsid w:val="007177CB"/>
    <w:rsid w:val="007229B3"/>
    <w:rsid w:val="00724BF2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3AA1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0A6F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4E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149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3909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2715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43F"/>
    <w:rsid w:val="008737DB"/>
    <w:rsid w:val="00874452"/>
    <w:rsid w:val="00874539"/>
    <w:rsid w:val="00874B10"/>
    <w:rsid w:val="00874C04"/>
    <w:rsid w:val="00875BBC"/>
    <w:rsid w:val="00876CAF"/>
    <w:rsid w:val="00877A28"/>
    <w:rsid w:val="00877E66"/>
    <w:rsid w:val="00877EE6"/>
    <w:rsid w:val="00880EED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31E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0FF0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30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D85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08A"/>
    <w:rsid w:val="009028B7"/>
    <w:rsid w:val="009034F8"/>
    <w:rsid w:val="00903E17"/>
    <w:rsid w:val="00904DB0"/>
    <w:rsid w:val="009065B3"/>
    <w:rsid w:val="00907A2C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8AC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27EE0"/>
    <w:rsid w:val="009306A7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043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1E"/>
    <w:rsid w:val="00957B4B"/>
    <w:rsid w:val="00961877"/>
    <w:rsid w:val="00961BD9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05B81"/>
    <w:rsid w:val="00A06188"/>
    <w:rsid w:val="00A10D09"/>
    <w:rsid w:val="00A10E00"/>
    <w:rsid w:val="00A115A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11BA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ACA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72C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55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0EF0"/>
    <w:rsid w:val="00AC13E8"/>
    <w:rsid w:val="00AC2C77"/>
    <w:rsid w:val="00AC3312"/>
    <w:rsid w:val="00AC3D6F"/>
    <w:rsid w:val="00AC4A94"/>
    <w:rsid w:val="00AC5217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378"/>
    <w:rsid w:val="00B21BFA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37AA"/>
    <w:rsid w:val="00B45DFB"/>
    <w:rsid w:val="00B466D7"/>
    <w:rsid w:val="00B46B48"/>
    <w:rsid w:val="00B4745E"/>
    <w:rsid w:val="00B506A8"/>
    <w:rsid w:val="00B5146F"/>
    <w:rsid w:val="00B523D9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67E55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4AEE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2ED6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48C6"/>
    <w:rsid w:val="00BB59CB"/>
    <w:rsid w:val="00BB5C5B"/>
    <w:rsid w:val="00BB64B2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4EC8"/>
    <w:rsid w:val="00BE5B3B"/>
    <w:rsid w:val="00BE6369"/>
    <w:rsid w:val="00BE6C6D"/>
    <w:rsid w:val="00BE791A"/>
    <w:rsid w:val="00BF1F37"/>
    <w:rsid w:val="00BF2D63"/>
    <w:rsid w:val="00BF2E47"/>
    <w:rsid w:val="00BF35F8"/>
    <w:rsid w:val="00BF3929"/>
    <w:rsid w:val="00BF3AAD"/>
    <w:rsid w:val="00BF4751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14D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4AF5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472D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6E23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5220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86E1E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5E1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57B8"/>
    <w:rsid w:val="00DE759B"/>
    <w:rsid w:val="00DF0912"/>
    <w:rsid w:val="00DF3A9E"/>
    <w:rsid w:val="00DF42CC"/>
    <w:rsid w:val="00DF5BD4"/>
    <w:rsid w:val="00DF6A20"/>
    <w:rsid w:val="00DF7631"/>
    <w:rsid w:val="00DF7829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50F"/>
    <w:rsid w:val="00ED7E05"/>
    <w:rsid w:val="00EE15CC"/>
    <w:rsid w:val="00EE19FA"/>
    <w:rsid w:val="00EE1B71"/>
    <w:rsid w:val="00EE1D81"/>
    <w:rsid w:val="00EE2059"/>
    <w:rsid w:val="00EE2F25"/>
    <w:rsid w:val="00EE44CE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3BF0"/>
    <w:rsid w:val="00F74A0C"/>
    <w:rsid w:val="00F75B45"/>
    <w:rsid w:val="00F75B93"/>
    <w:rsid w:val="00F764B3"/>
    <w:rsid w:val="00F77626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02BF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B7EB1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C715D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p8uk4z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548</Words>
  <Characters>3063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La nouvelle charnière de guidage Evisys de Hettich : des performances élevées avec une capacité de charge importante pour un design de cuisine généreux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nouvelle charnière de guidage Evisys de Hettich : des performances élevées avec une capacité de charge importante pour un design de cuisine généreux</dc:title>
  <dc:creator>Anke Wöhler</dc:creator>
  <cp:lastModifiedBy>Anke Wöhler</cp:lastModifiedBy>
  <cp:revision>14</cp:revision>
  <cp:lastPrinted>2024-11-15T07:03:00Z</cp:lastPrinted>
  <dcterms:created xsi:type="dcterms:W3CDTF">2024-11-12T13:27:00Z</dcterms:created>
  <dcterms:modified xsi:type="dcterms:W3CDTF">2024-11-27T06:13:00Z</dcterms:modified>
</cp:coreProperties>
</file>